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11" w:rsidRDefault="002446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4611" w:rsidRDefault="00244611">
      <w:pPr>
        <w:pStyle w:val="ConsPlusNormal"/>
        <w:jc w:val="both"/>
        <w:outlineLvl w:val="0"/>
      </w:pPr>
    </w:p>
    <w:p w:rsidR="00244611" w:rsidRDefault="00244611">
      <w:pPr>
        <w:pStyle w:val="ConsPlusTitle"/>
        <w:jc w:val="center"/>
      </w:pPr>
      <w:r>
        <w:t>ГОСУДАРСТВЕННАЯ КОРПОРАЦИЯ "РОСТЕХ"</w:t>
      </w:r>
    </w:p>
    <w:p w:rsidR="00244611" w:rsidRDefault="00244611">
      <w:pPr>
        <w:pStyle w:val="ConsPlusTitle"/>
        <w:jc w:val="center"/>
      </w:pPr>
    </w:p>
    <w:p w:rsidR="00244611" w:rsidRDefault="00244611">
      <w:pPr>
        <w:pStyle w:val="ConsPlusTitle"/>
        <w:jc w:val="center"/>
      </w:pPr>
      <w:r>
        <w:t>РАСПОРЯЖЕНИЕ</w:t>
      </w:r>
    </w:p>
    <w:p w:rsidR="00244611" w:rsidRDefault="00244611">
      <w:pPr>
        <w:pStyle w:val="ConsPlusTitle"/>
        <w:jc w:val="center"/>
      </w:pPr>
      <w:r>
        <w:t>от 19 ноября 2021 г. N 221</w:t>
      </w:r>
    </w:p>
    <w:p w:rsidR="00244611" w:rsidRDefault="00244611">
      <w:pPr>
        <w:pStyle w:val="ConsPlusTitle"/>
        <w:jc w:val="center"/>
      </w:pPr>
    </w:p>
    <w:p w:rsidR="00244611" w:rsidRDefault="00244611">
      <w:pPr>
        <w:pStyle w:val="ConsPlusTitle"/>
        <w:jc w:val="center"/>
      </w:pPr>
      <w:r>
        <w:t>ОБ УТВЕРЖДЕНИИ ТИПОВЫХ ДОКУМЕНТОВ ДЛЯ ПРОВЕДЕНИЯ</w:t>
      </w:r>
    </w:p>
    <w:p w:rsidR="00244611" w:rsidRDefault="00244611">
      <w:pPr>
        <w:pStyle w:val="ConsPlusTitle"/>
        <w:jc w:val="center"/>
      </w:pPr>
      <w:r>
        <w:t>АНТИКОРРУПЦИОННОЙ ЭКСПЕРТИЗЫ ПРАВОВЫХ АКТОВ В ОРГАНИЗАЦИЯХ</w:t>
      </w:r>
    </w:p>
    <w:p w:rsidR="00244611" w:rsidRDefault="00244611">
      <w:pPr>
        <w:pStyle w:val="ConsPlusTitle"/>
        <w:jc w:val="center"/>
      </w:pPr>
      <w:r>
        <w:t>ГОСУДАРСТВЕННОЙ КОРПОРАЦИИ "РОСТЕХ"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ind w:firstLine="540"/>
        <w:jc w:val="both"/>
      </w:pPr>
      <w:r>
        <w:t xml:space="preserve">Во исполнение ч.1 пункта 2.1.4. А) Плана противодействия коррупции Государственной корпорации "Ростех" на 2021-2024 годы (далее Корпорация), утвержденного приказом Корпорации от 24 сентября 2021 г. </w:t>
      </w:r>
      <w:hyperlink r:id="rId5">
        <w:r>
          <w:rPr>
            <w:color w:val="0000FF"/>
          </w:rPr>
          <w:t>N 103</w:t>
        </w:r>
      </w:hyperlink>
      <w:r>
        <w:t>, в целях формирования единой системы мер по противодействию коррупции в Корпорации и организациях Корпорации ОБЯЗЫВАЮ: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 xml:space="preserve">1. Утвердить Типовое положение о порядке проведения антикоррупционной экспертизы правовых актов и проектов правовых актов организации Корпорации (далее - Типовое положение) в соответствии с </w:t>
      </w:r>
      <w:hyperlink w:anchor="P25">
        <w:r>
          <w:rPr>
            <w:color w:val="0000FF"/>
          </w:rPr>
          <w:t>приложением N 1</w:t>
        </w:r>
      </w:hyperlink>
      <w:r>
        <w:t xml:space="preserve"> к настоящему распоряжению.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 xml:space="preserve">2. Утвердить Методические рекомендации о порядке проведения антикоррупционной экспертизы правовых актов и проектов правовых актов организации Корпорации (далее - Методические рекомендации) в соответствии с </w:t>
      </w:r>
      <w:hyperlink w:anchor="P74">
        <w:r>
          <w:rPr>
            <w:color w:val="0000FF"/>
          </w:rPr>
          <w:t>приложением N 2</w:t>
        </w:r>
      </w:hyperlink>
      <w:r>
        <w:t xml:space="preserve"> к настоящему распоряжению.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 xml:space="preserve">3. Утвердить Типовой перечень категорий правовых актов и проектов правовых актов головных организаций холдинговых компаний (интегрированных структур) и организаций прямого управления Корпорации, подлежащих обязательной антикоррупционной экспертизе (далее - Типовой перечень), в соответствии с </w:t>
      </w:r>
      <w:hyperlink w:anchor="P195">
        <w:r>
          <w:rPr>
            <w:color w:val="0000FF"/>
          </w:rPr>
          <w:t>приложением N 3</w:t>
        </w:r>
      </w:hyperlink>
      <w:r>
        <w:t xml:space="preserve"> к настоящему распоряжению.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4. Департамент безопасности и профилактики коррупционных правонарушений (К.В.Ходов) в течение трех рабочих дней со дня издания настоящего распоряжения обеспечить адресное доведение настоящего распоряжения до сведения руководителей головных организаций холдинговых компаний (интегрированных структур) Корпорации, организаций прямого управления и инфраструктурных дочерних организаций Корпорации.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5. Контроль за исполнением настоящего распоряжения оставляю за собой.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right"/>
      </w:pPr>
      <w:r>
        <w:t>Заместитель генерального директора</w:t>
      </w:r>
    </w:p>
    <w:p w:rsidR="00244611" w:rsidRDefault="00244611">
      <w:pPr>
        <w:pStyle w:val="ConsPlusNormal"/>
        <w:jc w:val="right"/>
      </w:pPr>
      <w:r>
        <w:t>Н.А. Волобуев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right"/>
        <w:outlineLvl w:val="0"/>
      </w:pPr>
      <w:bookmarkStart w:id="0" w:name="P25"/>
      <w:bookmarkEnd w:id="0"/>
      <w:r>
        <w:t>Приложение N 1</w:t>
      </w:r>
    </w:p>
    <w:p w:rsidR="00244611" w:rsidRDefault="00244611">
      <w:pPr>
        <w:pStyle w:val="ConsPlusNormal"/>
        <w:jc w:val="right"/>
      </w:pPr>
      <w:r>
        <w:t>к распоряжению</w:t>
      </w:r>
    </w:p>
    <w:p w:rsidR="00244611" w:rsidRDefault="00244611">
      <w:pPr>
        <w:pStyle w:val="ConsPlusNormal"/>
        <w:jc w:val="right"/>
      </w:pPr>
      <w:r>
        <w:t>Государственной корпорации "Ростех"</w:t>
      </w:r>
    </w:p>
    <w:p w:rsidR="00244611" w:rsidRDefault="00244611">
      <w:pPr>
        <w:pStyle w:val="ConsPlusNormal"/>
        <w:jc w:val="right"/>
      </w:pPr>
      <w:r>
        <w:t>от 19 ноября 2021 г. N 221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right"/>
      </w:pPr>
      <w:r>
        <w:t>УТВЕРЖДЕНО</w:t>
      </w:r>
    </w:p>
    <w:p w:rsidR="00244611" w:rsidRDefault="00244611">
      <w:pPr>
        <w:pStyle w:val="ConsPlusNormal"/>
        <w:jc w:val="right"/>
      </w:pPr>
      <w:r>
        <w:t>приказом Общества</w:t>
      </w:r>
    </w:p>
    <w:p w:rsidR="00244611" w:rsidRDefault="00244611">
      <w:pPr>
        <w:pStyle w:val="ConsPlusNormal"/>
        <w:jc w:val="right"/>
      </w:pPr>
      <w:r>
        <w:t>от _____ _______________ 2021 г. N _____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Title"/>
        <w:jc w:val="center"/>
      </w:pPr>
      <w:r>
        <w:t>Типовое положение</w:t>
      </w:r>
    </w:p>
    <w:p w:rsidR="00244611" w:rsidRDefault="00244611">
      <w:pPr>
        <w:pStyle w:val="ConsPlusTitle"/>
        <w:jc w:val="center"/>
      </w:pPr>
      <w:r>
        <w:t>о порядке проведения антикоррупционной экспертизы правовых</w:t>
      </w:r>
    </w:p>
    <w:p w:rsidR="00244611" w:rsidRDefault="00244611">
      <w:pPr>
        <w:pStyle w:val="ConsPlusTitle"/>
        <w:jc w:val="center"/>
      </w:pPr>
      <w:r>
        <w:t>актов и проектов правовых актов организации Корпорации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center"/>
        <w:outlineLvl w:val="1"/>
      </w:pPr>
      <w:r>
        <w:rPr>
          <w:b/>
        </w:rPr>
        <w:t>I. Общие положения</w:t>
      </w:r>
    </w:p>
    <w:p w:rsidR="00244611" w:rsidRDefault="00244611">
      <w:pPr>
        <w:pStyle w:val="ConsPlusNormal"/>
        <w:ind w:firstLine="540"/>
        <w:jc w:val="both"/>
      </w:pPr>
      <w:r>
        <w:t>1. Антикоррупционной экспертизе подлежат проекты правовых актов организации Корпорации (далее - Общество), а также действующие правовые акты Общества, относящиеся к категориям, включенным в Перечень категорий правовых актов и проектов правовых актов Общества, подлежащих обязательной антикоррупционной экспертизе (далее - Перечень), в целях выявления в них коррупциогенных факторов и их последующего устранения.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2. Антикоррупционной экспертизе не подлежат проекты правовых актов Общества, разработанные на основании утвержденных типовых документов, прошедших антикоррупционную экспертизу в Государственной корпорации "Ростех".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 Антикоррупционная экспертиза правовых актов и проектов правовых актов Общества, относящихся к категориям, включенным в Перечень (далее - правовые акты), осуществляется (указывается подразделение или должностное лицо, к компетенции которого относятся вопросы противодействия коррупции, далее - уполномоченное подразделение) в соответствии с Методическими рекомендациями о порядке проведения антикоррупционной экспертизы правовых актов и проектов правовых актов Общества (далее - Методика).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4. Руководителям и работникам структурных подразделений Общества - разработчиков правовых актов, в целях исключения коррупционных составляющих в проектах приказов и распоряжений Общества руководствоваться положениями настоящего приказа.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center"/>
        <w:outlineLvl w:val="1"/>
      </w:pPr>
      <w:r>
        <w:rPr>
          <w:b/>
        </w:rPr>
        <w:t>II. Порядок проведения антикоррупционной экспертизы</w:t>
      </w:r>
    </w:p>
    <w:p w:rsidR="00244611" w:rsidRDefault="00244611">
      <w:pPr>
        <w:pStyle w:val="ConsPlusNormal"/>
        <w:jc w:val="center"/>
      </w:pPr>
      <w:r>
        <w:rPr>
          <w:b/>
        </w:rPr>
        <w:t>проектов правовых актов Общества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ind w:firstLine="540"/>
        <w:jc w:val="both"/>
      </w:pPr>
      <w:r>
        <w:t>1. Проект правового акта Общества, относящийся к категориям, включенным в Перечень, направляется структурным подразделением, ответственным за его подготовку, в установленном в Обществе порядке на согласование в уполномоченное подразделение для проведения антикоррупционной экспертизы.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2. Срок согласования для проведения уполномоченным подразделением экспертизы составляет 5 рабочих дней.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 При выявлении в проекте правового акта Общества коррупциогенных факторов уполномоченное подразделение в заключении по результатам проведения антикоррупционной экспертизы проекта правового акта отражает все выявленные коррупциогенные факторы с указанием структурных единиц (разделов, пунктов, подпунктов, абзацев), в которых они содержатся, со ссылкой на положения Методики.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Заключение подписывается руководителем уполномоченного подразделения (лицом, исполняющим его обязанности).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Заключение подлежит обязательному рассмотрению структурным подразделением Общества, ответственным за подготовку проекта правового акта.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Ответственное структурное подразделение дорабатывает проект правового акта в целях устранения коррупциогенных факторов.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lastRenderedPageBreak/>
        <w:t>4. После устранения коррупциогенных факторов, выявленных при проведении антикоррупционной экспертизы проекта правового акта Общества, доработанный проект направляется на повторное рассмотрение в уполномоченное подразделение.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5. Срок повторного рассмотрения правового акта уполномоченным подразделением составляет 3 рабочих дня.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на согласительном совещании с участием представителя уполномоченного подразделения, представителей заинтересованных структурных подразделений и (в случае возникновения вопросов, нуждающихся в правовой оценке) подразделения правового обеспечения Общества. При наличии неразрешенных противоречий снятие разногласий осуществляется путем проведения совещания под председательством заместителя генерального директора Общества, к компетенции которого относятся вопросы профилактики коррупционных и иных правонарушений.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7. При отсутствии в проекте правового акта Общества коррупциогенных факторов согласование его уполномоченным подразделением подтверждает факт проведения антикоррупционной экспертизы.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center"/>
        <w:outlineLvl w:val="1"/>
      </w:pPr>
      <w:r>
        <w:rPr>
          <w:b/>
        </w:rPr>
        <w:t>III. Порядок проведения антикоррупционной экспертизы</w:t>
      </w:r>
    </w:p>
    <w:p w:rsidR="00244611" w:rsidRDefault="00244611">
      <w:pPr>
        <w:pStyle w:val="ConsPlusNormal"/>
        <w:jc w:val="center"/>
      </w:pPr>
      <w:r>
        <w:rPr>
          <w:b/>
        </w:rPr>
        <w:t>действующих правовых актов Общества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ind w:firstLine="540"/>
        <w:jc w:val="both"/>
      </w:pPr>
      <w:r>
        <w:t>1. Антикоррупционная экспертиза действующих правовых актов Общества, относящихся к категориям, включенным в Перечень, проводится уполномоченным подразделением Общества.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2. Результаты антикоррупционной экспертизы правового акта Общества отражаются в заключении, подготавливаемого в порядке, предусмотренном главой II настоящего Типового положения.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 При выявлении в правовом акте коррупциогенных факторов заключение направляется руководству структурного подразделения Общества - разработчику правового акта для обязательного рассмотрения и подготовки проекта правового акта о внесении изменений в соответствующий правовой акт. Одновременно копия заключения направляется в подразделение правового обеспечения Общества.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4. Разногласия, возникающие при оценке указанных в заключении коррупциогенных факторов, разрешаются на согласительном совещании с участием представителя уполномоченного подразделения, представителей заинтересованных структурных подразделений и (в случае возникновения вопросов, нуждающихся в правовой оценке) подразделения правового обеспечения Общества. При наличии неразрешенных противоречий снятие разногласий осуществляется путем проведения совещания под председательством заместителя генерального директора Общества, к компетенции которого относятся вопросы профилактики коррупционных и иных правонарушений.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right"/>
        <w:outlineLvl w:val="0"/>
      </w:pPr>
      <w:bookmarkStart w:id="1" w:name="P74"/>
      <w:bookmarkEnd w:id="1"/>
      <w:r>
        <w:t>Приложение N 2</w:t>
      </w:r>
    </w:p>
    <w:p w:rsidR="00244611" w:rsidRDefault="00244611">
      <w:pPr>
        <w:pStyle w:val="ConsPlusNormal"/>
        <w:jc w:val="right"/>
      </w:pPr>
      <w:r>
        <w:t>к распоряжению</w:t>
      </w:r>
    </w:p>
    <w:p w:rsidR="00244611" w:rsidRDefault="00244611">
      <w:pPr>
        <w:pStyle w:val="ConsPlusNormal"/>
        <w:jc w:val="right"/>
      </w:pPr>
      <w:r>
        <w:t>Государственной корпорации "Ростех"</w:t>
      </w:r>
    </w:p>
    <w:p w:rsidR="00244611" w:rsidRDefault="00244611">
      <w:pPr>
        <w:pStyle w:val="ConsPlusNormal"/>
        <w:jc w:val="right"/>
      </w:pPr>
      <w:r>
        <w:t>от 19 ноября 2021 г. N 221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right"/>
      </w:pPr>
      <w:r>
        <w:lastRenderedPageBreak/>
        <w:t>УТВЕРЖДЕНО</w:t>
      </w:r>
    </w:p>
    <w:p w:rsidR="00244611" w:rsidRDefault="00244611">
      <w:pPr>
        <w:pStyle w:val="ConsPlusNormal"/>
        <w:jc w:val="right"/>
      </w:pPr>
      <w:r>
        <w:t>приказом Общества</w:t>
      </w:r>
    </w:p>
    <w:p w:rsidR="00244611" w:rsidRDefault="00244611">
      <w:pPr>
        <w:pStyle w:val="ConsPlusNormal"/>
        <w:jc w:val="right"/>
      </w:pPr>
      <w:r>
        <w:t>от _____ ______________ 2021 г. N _____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Title"/>
        <w:jc w:val="center"/>
      </w:pPr>
      <w:r>
        <w:t>Методические рекомендации</w:t>
      </w:r>
    </w:p>
    <w:p w:rsidR="00244611" w:rsidRDefault="00244611">
      <w:pPr>
        <w:pStyle w:val="ConsPlusTitle"/>
        <w:jc w:val="center"/>
      </w:pPr>
      <w:r>
        <w:t>о порядке проведения антикоррупционной экспертизы правовых</w:t>
      </w:r>
    </w:p>
    <w:p w:rsidR="00244611" w:rsidRDefault="00244611">
      <w:pPr>
        <w:pStyle w:val="ConsPlusTitle"/>
        <w:jc w:val="center"/>
      </w:pPr>
      <w:r>
        <w:t>актов и проектов правовых актов организации Государственной корпорации "Ростех"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ind w:firstLine="540"/>
        <w:jc w:val="both"/>
      </w:pPr>
      <w:r>
        <w:t>Настоящие Методические рекомендации по проведению экспертизы правовых актов и проектов правовых актов Общества (далее - Методические рекомендации) разработаны в соответствии с Федеральным законом от 25 декабря 2008 г. N 273-ФЗ "О противодействии коррупции", с учетом положений Федерального закона от 17 июля 2009 г. N 172-ФЗ "Об антикоррупционной экспертизе нормативных правовых актов и проектов нормативных правовых актов" и Постановления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Для целей Методических рекомендаций используются следующие понятия:</w:t>
      </w:r>
    </w:p>
    <w:p w:rsidR="00244611" w:rsidRDefault="00244611">
      <w:pPr>
        <w:pStyle w:val="ConsPlusNormal"/>
        <w:spacing w:before="220"/>
        <w:jc w:val="both"/>
      </w:pPr>
      <w:r>
        <w:t>Антикоррупционная экспертиза правовых актов и проектов правовых актов Общества (далее - правовой акт) - деятельность подразделения или должностного лица Общества, в компетенцию которых входят вопросы по противодействию коррупции, проводящих антикоррупционную экспертизу (далее - уполномоченное подразделение), направленная на выявление в тексте правового акта коррупционных факторов, оценку степени их коррупциогенности и выработку рекомендаций по ликвидации вызываемых ими коррупционных рисков.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Коррупциогенность правовых актов (их проектов)- наличие в правовых актах (их проектов) одного или нескольких коррупциогенных факторов.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Коррупциогенный фактор - положения правового акта (проекта правового акта),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Применение настоящих Методических рекомендаций включает в себя:</w:t>
      </w:r>
    </w:p>
    <w:p w:rsidR="00244611" w:rsidRDefault="00244611">
      <w:pPr>
        <w:pStyle w:val="ConsPlusNormal"/>
        <w:spacing w:before="220"/>
        <w:jc w:val="both"/>
      </w:pPr>
      <w:r>
        <w:t>проведение анализа (антикоррупционной экспертизы) правового акта или его проекта на коррупциогенность;</w:t>
      </w:r>
    </w:p>
    <w:p w:rsidR="00244611" w:rsidRDefault="00244611">
      <w:pPr>
        <w:pStyle w:val="ConsPlusNormal"/>
        <w:spacing w:before="220"/>
        <w:jc w:val="both"/>
      </w:pPr>
      <w:r>
        <w:t>подготовку уполномоченным подразделением заключения с предложениями по устранению коррупциогенных факторов (в случае их выявления в правовом акте или его проекте).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В заключении отражаются все выявленные положения правового акта,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 и соответствующих коррупциогенных факторов. В заключении отражаются возможные негативные последствия сохранения в правовом акте выявленных коррупционных факторов.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Коррупциогеными факторами являются: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1. Факторы, устанавливающие необоснованно широкие пределы усмотрения или возможность необоснованного применения исключений из общих правил: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lastRenderedPageBreak/>
        <w:t>1.1. Широта дискреционных полномочий - отсутствие или неопределенность сроков, условий или оснований принятия решения, наличие дублирующих полномочий (ее должностных лиц).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1.2. Определение компетенции по формуле "вправе" - диспозитивном (свободном) установлении возможности совершения Обществом (ее должностными лицами) действий в отношении граждан и организаций.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1.3. Выборочное изменение объема прав - возможность необоснованного установления исключений из общего порядка для граждан и организаций по усмотрению Общества (ее должностных лиц).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1.4. Юридико-лингвистической неопределенности - употреблении неустоявшихся, двусмысленных терминов и категорий оценочного характера.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1.5. Завышенные требования к лицу, предъявляемые для реализации принадлежащего ему права - установление неопределенных, трудновыполнимых и обременительных требований к гражданам и организациям.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ind w:firstLine="540"/>
        <w:jc w:val="both"/>
      </w:pPr>
      <w:r>
        <w:t>2. Факторы, связанные с наличием правовых пробелов: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2.1. Отсутствие или неполнота административных процедур - отсутствие порядка совершения Обществом (ее должностными лицами) определенных действий.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2.2. Заполнение законодательных пробелов при помощи правовых актов в отсутствие законодательной делегации соответствующих полномочий - установление общеобязательных правил поведения в правовом акте в условиях отсутствия закона.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2.3. Отказ от конкурсных (иных конкурентных) процедур - закрепление административного порядка предоставления права (блага).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2.4. Отсутствие мер ответственности Общества (ее должностных лиц) - отсутствие норм о юридической ответственности должностных лиц, а также норм об обжаловании их действий (бездействия) и решений;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2.5. Отсутствие норм, обеспечивающих возможность осуществления контроля, в том числе общественного, за действиями Общества(ее должностных лиц) (в случаях, если это не связано с государственной тайной).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2.6. Нарушение режима прозрачности информации - отсутствие норм, предусматривающих раскрытие информации о деятельности Общества (ее должностных лиц), и порядка получения информации по запросам граждан и организаций.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 Факторы системного характера: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3.1. Нормативные коллизии - противоречия (в том числе внутренние) между нормами, создающие для Общества (ее должностных лиц) возможность произвольного выбора норм, подлежащих применению в конкретном случае.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3.1.1. коллизии правового акта Общества и законодательства Российской Федерации;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3.1.2. коллизии правового акта Общества и другого нормативно-правового акта, имеющего большую юридическую силу;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3.1.3. коллизии правовых актов Общества (внутренние противоречия).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 xml:space="preserve">3.2. Ложные цели и приоритеты - правовой акт или его проект имеет цели и приоритеты, не отвечающие реальным потребностям правового регулирования корпоративных отношений и носят </w:t>
      </w:r>
      <w:r>
        <w:lastRenderedPageBreak/>
        <w:t>больше декларативный характер.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3.3. Несоблюдение (нарушение) порядка принятия правового акта - несоблюдение существенных положений правового акта Общества, регулирующего процедуру принятия актов данного вида.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3.4. Несоблюдение установленной формы правового акта - ненадлежащее оформление правового документа Общества (решения Совета директоров, приказа, распоряжения).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3.5. Непринятие правового акта (бездействие) - отсутствие правового акта Общества, позволяющее издавать индивидуальные решения, полностью зависящие от воли конкретного должностного лица, не соблюдать установленные вышестоящими государственными органами запреты и ограничения.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ind w:firstLine="540"/>
        <w:jc w:val="both"/>
      </w:pPr>
      <w:r>
        <w:t>Примечание. При подготовке работником структурного подразделения Общества проекта правового акта в рамках компетенции необходимо учитывать данные Методические рекомендации.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ind w:firstLine="540"/>
        <w:jc w:val="both"/>
      </w:pPr>
      <w:r>
        <w:t>Приложение: типовая форма заключения о проведении антикоррупционной экспертизы правового акта (проекта правового акта) Общества.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right"/>
        <w:outlineLvl w:val="1"/>
      </w:pPr>
      <w:r>
        <w:t>Приложение</w:t>
      </w:r>
    </w:p>
    <w:p w:rsidR="00244611" w:rsidRDefault="00244611">
      <w:pPr>
        <w:pStyle w:val="ConsPlusNormal"/>
        <w:jc w:val="right"/>
      </w:pPr>
      <w:r>
        <w:t>К Методическим рекомендациям</w:t>
      </w:r>
    </w:p>
    <w:p w:rsidR="00244611" w:rsidRDefault="00244611">
      <w:pPr>
        <w:pStyle w:val="ConsPlusNormal"/>
        <w:jc w:val="right"/>
      </w:pPr>
      <w:r>
        <w:t>о порядке проведения антикоррупционной экспертизы правовых актов</w:t>
      </w:r>
    </w:p>
    <w:p w:rsidR="00244611" w:rsidRDefault="00244611">
      <w:pPr>
        <w:pStyle w:val="ConsPlusNormal"/>
        <w:jc w:val="right"/>
      </w:pPr>
      <w:r>
        <w:t>и проектов правовых актов организации Государственной корпорации "Ростех"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Title"/>
        <w:jc w:val="center"/>
      </w:pPr>
      <w:r>
        <w:t>Заключение</w:t>
      </w:r>
    </w:p>
    <w:p w:rsidR="00244611" w:rsidRDefault="00244611">
      <w:pPr>
        <w:pStyle w:val="ConsPlusNormal"/>
        <w:spacing w:before="220"/>
        <w:jc w:val="center"/>
      </w:pPr>
      <w:r>
        <w:t>о результатах антикоррупционной экспертизы правового акта Общества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sectPr w:rsidR="00244611" w:rsidSect="001A5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"/>
        <w:gridCol w:w="1288"/>
        <w:gridCol w:w="2211"/>
        <w:gridCol w:w="1418"/>
        <w:gridCol w:w="2159"/>
        <w:gridCol w:w="2294"/>
      </w:tblGrid>
      <w:tr w:rsidR="00244611">
        <w:tc>
          <w:tcPr>
            <w:tcW w:w="378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288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Наименование и вид правового акта</w:t>
            </w:r>
          </w:p>
        </w:tc>
        <w:tc>
          <w:tcPr>
            <w:tcW w:w="2211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Вывод по результатам оценки правового акта на</w:t>
            </w:r>
          </w:p>
          <w:p w:rsidR="00244611" w:rsidRDefault="00244611">
            <w:pPr>
              <w:pStyle w:val="ConsPlusNormal"/>
              <w:jc w:val="center"/>
            </w:pPr>
            <w:r>
              <w:rPr>
                <w:b/>
              </w:rPr>
              <w:t>к</w:t>
            </w:r>
            <w:r>
              <w:t>оррупциогенность</w:t>
            </w:r>
          </w:p>
        </w:tc>
        <w:tc>
          <w:tcPr>
            <w:tcW w:w="1418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Перечень норм, в которых обнаружены коррупциогенные факторы</w:t>
            </w:r>
          </w:p>
        </w:tc>
        <w:tc>
          <w:tcPr>
            <w:tcW w:w="2159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Описание обнаруженных коррупциогенных факторов</w:t>
            </w:r>
          </w:p>
        </w:tc>
        <w:tc>
          <w:tcPr>
            <w:tcW w:w="2294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Рекомендации по устранению выявленных коррупциогенных факторов и устранению (коррекции) норм, их содержащих</w:t>
            </w:r>
          </w:p>
        </w:tc>
      </w:tr>
      <w:tr w:rsidR="00244611">
        <w:tc>
          <w:tcPr>
            <w:tcW w:w="378" w:type="dxa"/>
            <w:vAlign w:val="center"/>
          </w:tcPr>
          <w:p w:rsidR="00244611" w:rsidRDefault="00244611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9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4" w:type="dxa"/>
            <w:vAlign w:val="center"/>
          </w:tcPr>
          <w:p w:rsidR="00244611" w:rsidRDefault="00244611">
            <w:pPr>
              <w:pStyle w:val="ConsPlusNormal"/>
              <w:jc w:val="center"/>
            </w:pPr>
            <w:r>
              <w:t>5</w:t>
            </w:r>
          </w:p>
        </w:tc>
      </w:tr>
      <w:tr w:rsidR="00244611">
        <w:tc>
          <w:tcPr>
            <w:tcW w:w="378" w:type="dxa"/>
            <w:vAlign w:val="center"/>
          </w:tcPr>
          <w:p w:rsidR="00244611" w:rsidRDefault="00244611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244611" w:rsidRDefault="00244611">
            <w:pPr>
              <w:pStyle w:val="ConsPlusNormal"/>
            </w:pPr>
          </w:p>
        </w:tc>
        <w:tc>
          <w:tcPr>
            <w:tcW w:w="2211" w:type="dxa"/>
          </w:tcPr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</w:tc>
        <w:tc>
          <w:tcPr>
            <w:tcW w:w="1418" w:type="dxa"/>
          </w:tcPr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</w:tc>
        <w:tc>
          <w:tcPr>
            <w:tcW w:w="2159" w:type="dxa"/>
          </w:tcPr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</w:tc>
        <w:tc>
          <w:tcPr>
            <w:tcW w:w="2294" w:type="dxa"/>
          </w:tcPr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  <w:p w:rsidR="00244611" w:rsidRDefault="00244611">
            <w:pPr>
              <w:pStyle w:val="ConsPlusNormal"/>
            </w:pPr>
          </w:p>
        </w:tc>
      </w:tr>
    </w:tbl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2268"/>
        <w:gridCol w:w="4706"/>
      </w:tblGrid>
      <w:tr w:rsidR="0024461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>
            <w:pPr>
              <w:pStyle w:val="ConsPlusNormal"/>
            </w:pPr>
            <w:r>
              <w:t>Антикоррупционную экспертизу провел:</w:t>
            </w:r>
          </w:p>
          <w:p w:rsidR="00244611" w:rsidRDefault="0024461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>
            <w:pPr>
              <w:pStyle w:val="ConsPlusNormal"/>
            </w:pPr>
          </w:p>
        </w:tc>
      </w:tr>
      <w:tr w:rsidR="0024461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>
            <w:pPr>
              <w:pStyle w:val="ConsPlusNormal"/>
              <w:jc w:val="both"/>
            </w:pPr>
            <w:r>
              <w:t>Должность работника уполномоченного 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>
            <w:pPr>
              <w:pStyle w:val="ConsPlusNormal"/>
              <w:jc w:val="center"/>
            </w:pPr>
            <w:r>
              <w:t>ФИО</w:t>
            </w:r>
          </w:p>
        </w:tc>
      </w:tr>
      <w:tr w:rsidR="0024461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>
            <w:pPr>
              <w:pStyle w:val="ConsPlusNormal"/>
              <w:jc w:val="both"/>
            </w:pPr>
            <w:r>
              <w:t>"______" _______________________ 20___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44611" w:rsidRDefault="00244611">
            <w:pPr>
              <w:pStyle w:val="ConsPlusNormal"/>
            </w:pPr>
          </w:p>
        </w:tc>
      </w:tr>
    </w:tbl>
    <w:p w:rsidR="00244611" w:rsidRDefault="00244611">
      <w:pPr>
        <w:pStyle w:val="ConsPlusNormal"/>
        <w:sectPr w:rsidR="002446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right"/>
        <w:outlineLvl w:val="0"/>
      </w:pPr>
      <w:bookmarkStart w:id="2" w:name="P195"/>
      <w:bookmarkEnd w:id="2"/>
      <w:r>
        <w:t>Приложение N 3</w:t>
      </w:r>
    </w:p>
    <w:p w:rsidR="00244611" w:rsidRDefault="00244611">
      <w:pPr>
        <w:pStyle w:val="ConsPlusNormal"/>
        <w:jc w:val="right"/>
      </w:pPr>
      <w:r>
        <w:t>к распоряжению</w:t>
      </w:r>
    </w:p>
    <w:p w:rsidR="00244611" w:rsidRDefault="00244611">
      <w:pPr>
        <w:pStyle w:val="ConsPlusNormal"/>
        <w:jc w:val="right"/>
      </w:pPr>
      <w:r>
        <w:t>Государственной корпорации "Ростех"</w:t>
      </w:r>
    </w:p>
    <w:p w:rsidR="00244611" w:rsidRDefault="00244611">
      <w:pPr>
        <w:pStyle w:val="ConsPlusNormal"/>
        <w:jc w:val="right"/>
      </w:pPr>
      <w:r>
        <w:t>от 19 ноября 2021 г. N 221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right"/>
      </w:pPr>
      <w:r>
        <w:t>УТВЕРЖДЕНО</w:t>
      </w:r>
    </w:p>
    <w:p w:rsidR="00244611" w:rsidRDefault="00244611">
      <w:pPr>
        <w:pStyle w:val="ConsPlusNormal"/>
        <w:jc w:val="right"/>
      </w:pPr>
      <w:r>
        <w:t>приказом Общества</w:t>
      </w:r>
    </w:p>
    <w:p w:rsidR="00244611" w:rsidRDefault="00244611">
      <w:pPr>
        <w:pStyle w:val="ConsPlusNormal"/>
        <w:jc w:val="right"/>
      </w:pPr>
      <w:r>
        <w:t>от _____ ______________ 2021 г. N _____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Title"/>
        <w:jc w:val="center"/>
      </w:pPr>
      <w:r>
        <w:t>Типовой перечень</w:t>
      </w:r>
    </w:p>
    <w:p w:rsidR="00244611" w:rsidRDefault="00244611">
      <w:pPr>
        <w:pStyle w:val="ConsPlusTitle"/>
        <w:jc w:val="center"/>
      </w:pPr>
      <w:r>
        <w:t>категорий правовых актов и проектов правовых актов головных</w:t>
      </w:r>
    </w:p>
    <w:p w:rsidR="00244611" w:rsidRDefault="00244611">
      <w:pPr>
        <w:pStyle w:val="ConsPlusTitle"/>
        <w:jc w:val="center"/>
      </w:pPr>
      <w:r>
        <w:t>организаций холдинговых компаний (интегрированных структур),</w:t>
      </w:r>
    </w:p>
    <w:p w:rsidR="00244611" w:rsidRDefault="00244611">
      <w:pPr>
        <w:pStyle w:val="ConsPlusTitle"/>
        <w:jc w:val="center"/>
      </w:pPr>
      <w:r>
        <w:t>организаций прямого управления и инфраструктурных дочерних</w:t>
      </w:r>
    </w:p>
    <w:p w:rsidR="00244611" w:rsidRDefault="00244611">
      <w:pPr>
        <w:pStyle w:val="ConsPlusTitle"/>
        <w:jc w:val="center"/>
      </w:pPr>
      <w:r>
        <w:t>организаций Государственной корпорации "Ростех" (далее -</w:t>
      </w:r>
    </w:p>
    <w:p w:rsidR="00244611" w:rsidRDefault="00244611">
      <w:pPr>
        <w:pStyle w:val="ConsPlusTitle"/>
        <w:jc w:val="center"/>
      </w:pPr>
      <w:r>
        <w:t>организации), подлежащих обязательной антикоррупционной экспертизе</w:t>
      </w: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jc w:val="both"/>
      </w:pPr>
    </w:p>
    <w:p w:rsidR="00244611" w:rsidRDefault="00244611">
      <w:pPr>
        <w:pStyle w:val="ConsPlusNormal"/>
        <w:ind w:firstLine="540"/>
        <w:jc w:val="both"/>
      </w:pPr>
      <w:r>
        <w:t>Экспертизе подлежат следующие типы правовых актов и иных распорядительных документов организации на предмет выявления наличия в них коррупциогенных факторов: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регламентирующие порядок отбора кандидатов, назначения на должность и освобождения от должности руководителей дочерних (зависимых) обществ организации (далее -общества), а также их аттестации (включая типовые документы, разрабатываемые в организации для последующего внедрения и практического применения в обществах);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об утверждении типовых уставов обществ организации, типовых положений об органах управления обществ и создаваемых при них консультативно-совещательных органах (комитетах, комиссиях, советах и т.п.), разрабатываемых в организации для последующего внедрения и практического применения в обществах;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регламентирующие порядок создания и ликвидации обществ;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 xml:space="preserve">определяющие порядок принятия решений организации при осуществлении прав собственника имущества федеральных государственных унитарных предприятий, установленных Федеральным законом от 23 ноября 2007 г. </w:t>
      </w:r>
      <w:hyperlink r:id="rId6">
        <w:r>
          <w:rPr>
            <w:color w:val="0000FF"/>
          </w:rPr>
          <w:t>N 270-ФЗ</w:t>
        </w:r>
      </w:hyperlink>
      <w:r>
        <w:t xml:space="preserve"> "О Государственной корпорации по содействию разработке, производству и экспорту высокотехнологичной промышленной продукции "Ростех";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определяющие порядок управления находящимися в собственности (либо переданными в доверительное управление) организациями акциями (долями) обществ;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определяющие порядок передачи акций (долей) обществ, находящихся в собственности организации, в собственность, долевое управление организациям, а также порядок передачи организациям полномочий единоличного исполнительного органа в организациях;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определяющие принципы и порядок финансирования и бюджетирования деятельности организаций Корпорации;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lastRenderedPageBreak/>
        <w:t>регламентирующие порядок организации и проведения служебных проверок и расследований, иных контрольно-проверочных мероприятий;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определяющие порядок проведения проверок и ревизий финансово-хозяйственной деятельности организации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определяющие порядок формирования и использования фондов организации;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определяющие порядок формирования и реализации корпоративной политики в области спонсорства и благотворительности;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определяющие порядок совершения сделок организации, включая порядок одобрения органами управления сделок, в совершении которых имеется заинтересованность должностных лиц организации;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касающиеся вопросов, связанных с проведением закупки товаров, работ, услуг;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определяющие условия системы мотивации и оплаты труда руководителей и иных должностных лиц организаций Корпорации;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регламентирующие порядок управления денежными средствами и высоколиквидными финансовыми активами, дебиторской и кредиторской задолженностью в части предоставления отсрочек платежей;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регламентирующие порядок признания активов организации непрофильными или проблемными и определяющими дальнейший порядок работы с ними;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регламентирующие порядок проведения мероприятий по обеспечению участия организации в международных выставках;</w:t>
      </w:r>
    </w:p>
    <w:p w:rsidR="00244611" w:rsidRDefault="00244611">
      <w:pPr>
        <w:pStyle w:val="ConsPlusNormal"/>
        <w:spacing w:before="220"/>
        <w:ind w:firstLine="540"/>
        <w:jc w:val="both"/>
      </w:pPr>
      <w:r>
        <w:t>разрабатываемые с учетом положений приказа Корпорации от 25.02.2015 N 46 "О профилактике коррупционных и иных правонарушений в Государственной корпорации "Ростех".</w:t>
      </w:r>
    </w:p>
    <w:p w:rsidR="00244611" w:rsidRDefault="00244611">
      <w:pPr>
        <w:pStyle w:val="ConsPlusNormal"/>
        <w:jc w:val="both"/>
      </w:pPr>
    </w:p>
    <w:p w:rsidR="00655541" w:rsidRDefault="00655541">
      <w:bookmarkStart w:id="3" w:name="_GoBack"/>
      <w:bookmarkEnd w:id="3"/>
    </w:p>
    <w:sectPr w:rsidR="0065554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11"/>
    <w:rsid w:val="00244611"/>
    <w:rsid w:val="006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2D29-997D-4739-93A5-01B5296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6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46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46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05E281E1EE4EB298849F1BF6FCB2DEDD040DC1AF1A14245EE7307853F62D896E86E78292502695F0A420419C8A850DAB3437DE2D1ABB1V2a5L" TargetMode="External"/><Relationship Id="rId5" Type="http://schemas.openxmlformats.org/officeDocument/2006/relationships/hyperlink" Target="consultantplus://offline/ref=7AA05E281E1EE4EB298856E6AA159524E8DD18D118F3A81C11B1285AD236688FD1A7373A6D2803695B01165756C9F41586A04270E2D3AFAD24CEAAV8aE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2796</Words>
  <Characters>15940</Characters>
  <Application>Microsoft Office Word</Application>
  <DocSecurity>0</DocSecurity>
  <Lines>132</Lines>
  <Paragraphs>37</Paragraphs>
  <ScaleCrop>false</ScaleCrop>
  <Company>Ростех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Сайкин Леонид Игоревич</dc:creator>
  <cp:keywords/>
  <dc:description/>
  <cp:lastModifiedBy>Сайкин Леонид Игоревич</cp:lastModifiedBy>
  <cp:revision>1</cp:revision>
  <dcterms:created xsi:type="dcterms:W3CDTF">2023-04-19T11:26:00Z</dcterms:created>
  <dcterms:modified xsi:type="dcterms:W3CDTF">2023-04-19T11:26:00Z</dcterms:modified>
</cp:coreProperties>
</file>